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Abstract summary</w:t>
      </w:r>
    </w:p>
    <w:p w:rsidR="002D40BC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Name</w:t>
      </w:r>
    </w:p>
    <w:p w:rsidR="00275B56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Instructor</w:t>
      </w:r>
    </w:p>
    <w:p w:rsidR="00275B56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Course</w:t>
      </w:r>
    </w:p>
    <w:p w:rsidR="00275B56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Date</w:t>
      </w:r>
    </w:p>
    <w:p w:rsidR="00275B56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6E29DF" w:rsidRPr="006E29DF" w:rsidRDefault="006E29DF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6E29DF" w:rsidRPr="006E29DF" w:rsidRDefault="006E29DF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 </w:t>
      </w:r>
    </w:p>
    <w:p w:rsidR="006E29DF" w:rsidRPr="006E29DF" w:rsidRDefault="006E29DF" w:rsidP="006E29D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 </w:t>
      </w:r>
      <w:r w:rsidRPr="006E29DF">
        <w:rPr>
          <w:rFonts w:ascii="Times New Roman" w:hAnsi="Times New Roman" w:cs="Times New Roman"/>
          <w:sz w:val="24"/>
          <w:szCs w:val="24"/>
        </w:rPr>
        <w:t>Brindle C. T., Malhotra R., O'Rourke S., Currie L., Chadwick D., Falls P., … Creehan S. (2013). Turning and repositioning the critically ill patient with hemodynamic instability: A literature review and consensus recommendations. </w:t>
      </w:r>
      <w:r w:rsidRPr="006E29DF">
        <w:rPr>
          <w:rFonts w:ascii="Times New Roman" w:hAnsi="Times New Roman" w:cs="Times New Roman"/>
          <w:i/>
          <w:iCs/>
          <w:color w:val="222222"/>
          <w:sz w:val="24"/>
          <w:szCs w:val="24"/>
        </w:rPr>
        <w:t>Journal of Wound Ostomy &amp; Continence Nursing</w:t>
      </w:r>
      <w:r w:rsidRPr="006E29DF">
        <w:rPr>
          <w:rFonts w:ascii="Times New Roman" w:hAnsi="Times New Roman" w:cs="Times New Roman"/>
          <w:color w:val="222222"/>
          <w:sz w:val="24"/>
          <w:szCs w:val="24"/>
        </w:rPr>
        <w:t>, 40, 254–267. doi:10.1097/WON.0b013e318290448f</w:t>
      </w:r>
    </w:p>
    <w:p w:rsidR="006E29DF" w:rsidRPr="006E29DF" w:rsidRDefault="006E29DF" w:rsidP="006E29DF">
      <w:pPr>
        <w:pStyle w:val="NoSpacing"/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This is a quantitative research question. The conclusion of having it classified as a quantitative research question was reached at since the question aims at quantifying a problem by generating a numerical problem or data that is then interpreted as being a useful statistic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E29DF">
        <w:rPr>
          <w:rFonts w:ascii="Times New Roman" w:hAnsi="Times New Roman" w:cs="Times New Roman"/>
          <w:sz w:val="24"/>
          <w:szCs w:val="24"/>
        </w:rPr>
        <w:t>Brindle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6E29DF">
        <w:rPr>
          <w:rFonts w:ascii="Times New Roman" w:hAnsi="Times New Roman" w:cs="Times New Roman"/>
          <w:sz w:val="24"/>
          <w:szCs w:val="24"/>
        </w:rPr>
        <w:t>Creehan</w:t>
      </w:r>
      <w:r>
        <w:rPr>
          <w:rFonts w:ascii="Times New Roman" w:hAnsi="Times New Roman" w:cs="Times New Roman"/>
          <w:sz w:val="24"/>
          <w:szCs w:val="24"/>
        </w:rPr>
        <w:t xml:space="preserve"> 2013)</w:t>
      </w: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It provides an understanding of problems and also helps in providing solutions to the problems by administrating a hypothesis for a potential quantitative research to take place.</w:t>
      </w:r>
    </w:p>
    <w:p w:rsidR="002D40BC" w:rsidRPr="006E29DF" w:rsidRDefault="002D40BC" w:rsidP="006E29DF">
      <w:pPr>
        <w:pStyle w:val="NoSpacing"/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 trial is a research question that has its objective of determining how much space individuals occupy when turning from supine to side lying as predicted by their body dimensions to establish a complete guidance on the size of the bed required to nurse a patient.</w:t>
      </w:r>
    </w:p>
    <w:p w:rsidR="002D40BC" w:rsidRPr="006E29DF" w:rsidRDefault="006E29DF" w:rsidP="006E29DF">
      <w:pPr>
        <w:pStyle w:val="NoSpacing"/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  <w:r w:rsidR="00275B56"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</w:t>
      </w:r>
      <w:r w:rsidR="002D40BC"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he sample is represented by the average number of the adult patient used to determine different bed sizes. Forty-seven adults of which twenty-four are female with different body mass index (BMI) ranging from 20 to 76kg/m2 were put into the laboratory study for examining. The sample size is the most important character in an empirical study. Its shows an inference about the numbers used in a sample. The sample size given in the abstract is the number captured to be used in the research. A number of 47 adults were used as samples to help determine the standard size of abed a patient would need. Sample attributes in the abstract are shown by the results obtained after the laboratory study was conducted.</w:t>
      </w:r>
      <w:r w:rsidR="002D40BC" w:rsidRPr="006E29D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2D40BC" w:rsidRPr="006E29DF" w:rsidRDefault="006E29DF" w:rsidP="006E29DF">
      <w:pPr>
        <w:pStyle w:val="NoSpacing"/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  <w:r w:rsidR="002D40BC"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 setting for</w:t>
      </w:r>
      <w:r w:rsidR="002D40BC" w:rsidRPr="006E29DF">
        <w:rPr>
          <w:rFonts w:ascii="Times New Roman" w:hAnsi="Times New Roman" w:cs="Times New Roman"/>
          <w:sz w:val="24"/>
          <w:szCs w:val="24"/>
        </w:rPr>
        <w:t> the study is described by the measurements taken in helping to determine the size of bed need by different patients</w:t>
      </w:r>
      <w:r w:rsidRPr="006E29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E29DF">
        <w:rPr>
          <w:rFonts w:ascii="Times New Roman" w:hAnsi="Times New Roman" w:cs="Times New Roman"/>
          <w:sz w:val="24"/>
          <w:szCs w:val="24"/>
        </w:rPr>
        <w:t>Brindle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6E29DF">
        <w:rPr>
          <w:rFonts w:ascii="Times New Roman" w:hAnsi="Times New Roman" w:cs="Times New Roman"/>
          <w:sz w:val="24"/>
          <w:szCs w:val="24"/>
        </w:rPr>
        <w:t>Creehan</w:t>
      </w:r>
      <w:r>
        <w:rPr>
          <w:rFonts w:ascii="Times New Roman" w:hAnsi="Times New Roman" w:cs="Times New Roman"/>
          <w:sz w:val="24"/>
          <w:szCs w:val="24"/>
        </w:rPr>
        <w:t xml:space="preserve"> 2013)</w:t>
      </w:r>
      <w:r w:rsidR="002D40BC" w:rsidRPr="006E29DF">
        <w:rPr>
          <w:rFonts w:ascii="Times New Roman" w:hAnsi="Times New Roman" w:cs="Times New Roman"/>
          <w:sz w:val="24"/>
          <w:szCs w:val="24"/>
        </w:rPr>
        <w:t xml:space="preserve">. Body dimensions and the envelope of space to turn was determined using the motion capture. And finally, linear </w:t>
      </w:r>
      <w:r w:rsidR="002D40BC" w:rsidRPr="006E29DF">
        <w:rPr>
          <w:rFonts w:ascii="Times New Roman" w:hAnsi="Times New Roman" w:cs="Times New Roman"/>
          <w:sz w:val="24"/>
          <w:szCs w:val="24"/>
        </w:rPr>
        <w:lastRenderedPageBreak/>
        <w:t>regressions were used to estimate the relationship between body dimensions and captured turning space.</w:t>
      </w:r>
    </w:p>
    <w:p w:rsidR="002D40BC" w:rsidRPr="006E29DF" w:rsidRDefault="002D40BC" w:rsidP="006E29DF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The results obtained from this type of </w:t>
      </w:r>
      <w:r w:rsidR="00275B56"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research </w:t>
      </w: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were that there is a correlation between the body mass indexes with turning space. An individual with BMI of up to 35kg/m2 could turn on their right or left within 91cm and an individual with BMI of up to 45kg/m2 turns the said 91cm in one direction</w:t>
      </w:r>
      <w:r w:rsid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Default="002D40BC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P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Reference</w:t>
      </w:r>
    </w:p>
    <w:p w:rsidR="002D40BC" w:rsidRPr="006E29DF" w:rsidRDefault="002D40BC" w:rsidP="006E29D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hAnsi="Times New Roman" w:cs="Times New Roman"/>
          <w:sz w:val="24"/>
          <w:szCs w:val="24"/>
        </w:rPr>
        <w:t>Brindle C. T., Malhotra R., O'Rourke S., Currie L., Chadwick D., Falls P., … Creehan S. (2013). Turning and repositioning the critically ill patient with hemodynamic instability: A literature review and consensus recommendations. </w:t>
      </w:r>
      <w:r w:rsidRPr="006E29DF">
        <w:rPr>
          <w:rFonts w:ascii="Times New Roman" w:hAnsi="Times New Roman" w:cs="Times New Roman"/>
          <w:i/>
          <w:iCs/>
          <w:color w:val="222222"/>
          <w:sz w:val="24"/>
          <w:szCs w:val="24"/>
        </w:rPr>
        <w:t>Journal of Wound Ostomy &amp; Continence Nursing</w:t>
      </w:r>
      <w:r w:rsidRPr="006E29DF">
        <w:rPr>
          <w:rFonts w:ascii="Times New Roman" w:hAnsi="Times New Roman" w:cs="Times New Roman"/>
          <w:color w:val="222222"/>
          <w:sz w:val="24"/>
          <w:szCs w:val="24"/>
        </w:rPr>
        <w:t>, 40, 254–267. doi:10.1097/WON.0b013e318290448f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3D20C1" w:rsidRPr="006E29DF" w:rsidRDefault="003D20C1" w:rsidP="006E29D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</w:rPr>
      </w:pPr>
    </w:p>
    <w:sectPr w:rsidR="003D20C1" w:rsidRPr="006E29DF" w:rsidSect="006E29D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90D" w:rsidRDefault="0073390D" w:rsidP="009A486A">
      <w:pPr>
        <w:spacing w:after="0" w:line="240" w:lineRule="auto"/>
      </w:pPr>
      <w:r>
        <w:separator/>
      </w:r>
    </w:p>
  </w:endnote>
  <w:endnote w:type="continuationSeparator" w:id="1">
    <w:p w:rsidR="0073390D" w:rsidRDefault="0073390D" w:rsidP="009A4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90D" w:rsidRDefault="0073390D" w:rsidP="009A486A">
      <w:pPr>
        <w:spacing w:after="0" w:line="240" w:lineRule="auto"/>
      </w:pPr>
      <w:r>
        <w:separator/>
      </w:r>
    </w:p>
  </w:footnote>
  <w:footnote w:type="continuationSeparator" w:id="1">
    <w:p w:rsidR="0073390D" w:rsidRDefault="0073390D" w:rsidP="009A4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23830633"/>
      <w:docPartObj>
        <w:docPartGallery w:val="Page Numbers (Top of Page)"/>
        <w:docPartUnique/>
      </w:docPartObj>
    </w:sdtPr>
    <w:sdtContent>
      <w:p w:rsidR="006E29DF" w:rsidRPr="006E29DF" w:rsidRDefault="006E29D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29DF">
          <w:rPr>
            <w:rFonts w:ascii="Times New Roman" w:hAnsi="Times New Roman" w:cs="Times New Roman"/>
            <w:sz w:val="24"/>
            <w:szCs w:val="24"/>
          </w:rPr>
          <w:t>ABSTRACT</w:t>
        </w:r>
        <w:r w:rsidRPr="006E29DF">
          <w:rPr>
            <w:rFonts w:ascii="Times New Roman" w:hAnsi="Times New Roman" w:cs="Times New Roman"/>
            <w:sz w:val="24"/>
            <w:szCs w:val="24"/>
          </w:rPr>
          <w:tab/>
        </w:r>
        <w:r w:rsidRPr="006E29DF">
          <w:rPr>
            <w:rFonts w:ascii="Times New Roman" w:hAnsi="Times New Roman" w:cs="Times New Roman"/>
            <w:sz w:val="24"/>
            <w:szCs w:val="24"/>
          </w:rPr>
          <w:tab/>
        </w:r>
        <w:r w:rsidRPr="006E29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29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29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29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DF" w:rsidRPr="006E29DF" w:rsidRDefault="006E29DF" w:rsidP="006E29D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E29DF">
      <w:rPr>
        <w:rFonts w:ascii="Times New Roman" w:hAnsi="Times New Roman" w:cs="Times New Roman"/>
        <w:sz w:val="24"/>
        <w:szCs w:val="24"/>
      </w:rPr>
      <w:t xml:space="preserve">Running head: ABSTRACT </w:t>
    </w:r>
    <w:r w:rsidRPr="006E29DF">
      <w:rPr>
        <w:rFonts w:ascii="Times New Roman" w:hAnsi="Times New Roman" w:cs="Times New Roman"/>
        <w:sz w:val="24"/>
        <w:szCs w:val="24"/>
      </w:rPr>
      <w:tab/>
    </w:r>
    <w:r w:rsidRPr="006E29D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3830594"/>
        <w:docPartObj>
          <w:docPartGallery w:val="Page Numbers (Top of Page)"/>
          <w:docPartUnique/>
        </w:docPartObj>
      </w:sdtPr>
      <w:sdtContent>
        <w:r w:rsidRPr="006E29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29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29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E29D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7D06"/>
    <w:rsid w:val="00051C0A"/>
    <w:rsid w:val="00061FA3"/>
    <w:rsid w:val="00072530"/>
    <w:rsid w:val="00091CB0"/>
    <w:rsid w:val="00094FCF"/>
    <w:rsid w:val="000C15FB"/>
    <w:rsid w:val="000D00F6"/>
    <w:rsid w:val="000D716A"/>
    <w:rsid w:val="000E16EE"/>
    <w:rsid w:val="0013637A"/>
    <w:rsid w:val="001B1E14"/>
    <w:rsid w:val="001B33CB"/>
    <w:rsid w:val="0022356D"/>
    <w:rsid w:val="00232561"/>
    <w:rsid w:val="00234A18"/>
    <w:rsid w:val="0023718D"/>
    <w:rsid w:val="00252D05"/>
    <w:rsid w:val="00275B56"/>
    <w:rsid w:val="002C64F3"/>
    <w:rsid w:val="002D40BC"/>
    <w:rsid w:val="003069E1"/>
    <w:rsid w:val="00317EFF"/>
    <w:rsid w:val="003640E8"/>
    <w:rsid w:val="003959E1"/>
    <w:rsid w:val="003C41F5"/>
    <w:rsid w:val="003D20C1"/>
    <w:rsid w:val="003E1C98"/>
    <w:rsid w:val="003F0F48"/>
    <w:rsid w:val="004064E1"/>
    <w:rsid w:val="00421AB8"/>
    <w:rsid w:val="00441D71"/>
    <w:rsid w:val="00444DBD"/>
    <w:rsid w:val="00467D06"/>
    <w:rsid w:val="0048050B"/>
    <w:rsid w:val="00481DC9"/>
    <w:rsid w:val="004C33A6"/>
    <w:rsid w:val="004C7A22"/>
    <w:rsid w:val="00546CFB"/>
    <w:rsid w:val="00594099"/>
    <w:rsid w:val="00597CFD"/>
    <w:rsid w:val="005B1D3B"/>
    <w:rsid w:val="005B431D"/>
    <w:rsid w:val="005E042D"/>
    <w:rsid w:val="005E1345"/>
    <w:rsid w:val="00621DC6"/>
    <w:rsid w:val="00645BC4"/>
    <w:rsid w:val="006E29DF"/>
    <w:rsid w:val="006E6839"/>
    <w:rsid w:val="00704D36"/>
    <w:rsid w:val="007079F4"/>
    <w:rsid w:val="00732989"/>
    <w:rsid w:val="0073390D"/>
    <w:rsid w:val="007A04E9"/>
    <w:rsid w:val="007A23D3"/>
    <w:rsid w:val="007E3955"/>
    <w:rsid w:val="007F4D6B"/>
    <w:rsid w:val="00802E17"/>
    <w:rsid w:val="008541E0"/>
    <w:rsid w:val="00887B7C"/>
    <w:rsid w:val="008D3F42"/>
    <w:rsid w:val="00923586"/>
    <w:rsid w:val="00946CEE"/>
    <w:rsid w:val="00970F4B"/>
    <w:rsid w:val="00974BDB"/>
    <w:rsid w:val="009753B2"/>
    <w:rsid w:val="009A486A"/>
    <w:rsid w:val="009B3876"/>
    <w:rsid w:val="00A3189B"/>
    <w:rsid w:val="00A53CB5"/>
    <w:rsid w:val="00A54048"/>
    <w:rsid w:val="00A77C78"/>
    <w:rsid w:val="00A86B79"/>
    <w:rsid w:val="00AA60D7"/>
    <w:rsid w:val="00B75953"/>
    <w:rsid w:val="00B814F9"/>
    <w:rsid w:val="00B97C28"/>
    <w:rsid w:val="00BA27C7"/>
    <w:rsid w:val="00BA6F87"/>
    <w:rsid w:val="00BA79B1"/>
    <w:rsid w:val="00BF09D9"/>
    <w:rsid w:val="00C12D10"/>
    <w:rsid w:val="00C22E70"/>
    <w:rsid w:val="00C405FC"/>
    <w:rsid w:val="00C546F8"/>
    <w:rsid w:val="00C84560"/>
    <w:rsid w:val="00CA3EC8"/>
    <w:rsid w:val="00CB0A7C"/>
    <w:rsid w:val="00CE6783"/>
    <w:rsid w:val="00CF6025"/>
    <w:rsid w:val="00D103D8"/>
    <w:rsid w:val="00D35DD9"/>
    <w:rsid w:val="00D47996"/>
    <w:rsid w:val="00D77472"/>
    <w:rsid w:val="00DB05DA"/>
    <w:rsid w:val="00DB6226"/>
    <w:rsid w:val="00DD4215"/>
    <w:rsid w:val="00DD69DB"/>
    <w:rsid w:val="00E2355B"/>
    <w:rsid w:val="00E326B4"/>
    <w:rsid w:val="00E341DA"/>
    <w:rsid w:val="00E56E82"/>
    <w:rsid w:val="00E72F4C"/>
    <w:rsid w:val="00E80E8A"/>
    <w:rsid w:val="00F12809"/>
    <w:rsid w:val="00F14958"/>
    <w:rsid w:val="00F22F49"/>
    <w:rsid w:val="00F234EB"/>
    <w:rsid w:val="00F46B55"/>
    <w:rsid w:val="00F7152A"/>
    <w:rsid w:val="00F900A3"/>
    <w:rsid w:val="00FB6BC0"/>
    <w:rsid w:val="00FC7F4F"/>
    <w:rsid w:val="00FE173E"/>
    <w:rsid w:val="00FE493E"/>
    <w:rsid w:val="00FF2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3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26B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86A"/>
  </w:style>
  <w:style w:type="paragraph" w:styleId="Footer">
    <w:name w:val="footer"/>
    <w:basedOn w:val="Normal"/>
    <w:link w:val="FooterChar"/>
    <w:uiPriority w:val="99"/>
    <w:unhideWhenUsed/>
    <w:rsid w:val="009A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86A"/>
  </w:style>
  <w:style w:type="character" w:styleId="Emphasis">
    <w:name w:val="Emphasis"/>
    <w:basedOn w:val="DefaultParagraphFont"/>
    <w:uiPriority w:val="20"/>
    <w:qFormat/>
    <w:rsid w:val="00317EFF"/>
    <w:rPr>
      <w:i/>
      <w:iCs/>
    </w:rPr>
  </w:style>
  <w:style w:type="paragraph" w:styleId="NoSpacing">
    <w:name w:val="No Spacing"/>
    <w:uiPriority w:val="1"/>
    <w:qFormat/>
    <w:rsid w:val="00275B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3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26B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86A"/>
  </w:style>
  <w:style w:type="paragraph" w:styleId="Footer">
    <w:name w:val="footer"/>
    <w:basedOn w:val="Normal"/>
    <w:link w:val="FooterChar"/>
    <w:uiPriority w:val="99"/>
    <w:unhideWhenUsed/>
    <w:rsid w:val="009A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86A"/>
  </w:style>
  <w:style w:type="character" w:styleId="Emphasis">
    <w:name w:val="Emphasis"/>
    <w:basedOn w:val="DefaultParagraphFont"/>
    <w:uiPriority w:val="20"/>
    <w:qFormat/>
    <w:rsid w:val="00317E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Virtual Care Provider, Inc.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Sargsyan, Tatevik</dc:creator>
  <cp:lastModifiedBy>user</cp:lastModifiedBy>
  <cp:revision>2</cp:revision>
  <dcterms:created xsi:type="dcterms:W3CDTF">2017-11-18T22:13:00Z</dcterms:created>
  <dcterms:modified xsi:type="dcterms:W3CDTF">2017-11-18T22:13:00Z</dcterms:modified>
</cp:coreProperties>
</file>